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917" w:rsidRDefault="00612917" w:rsidP="00612917">
      <w:pPr>
        <w:rPr>
          <w:sz w:val="24"/>
          <w:szCs w:val="24"/>
        </w:rPr>
      </w:pPr>
      <w:bookmarkStart w:id="0" w:name="_GoBack"/>
      <w:bookmarkEnd w:id="0"/>
      <w:r>
        <w:rPr>
          <w:sz w:val="24"/>
          <w:szCs w:val="24"/>
        </w:rPr>
        <w:t xml:space="preserve">Questions for Dean Coon from AFC, </w:t>
      </w:r>
      <w:r w:rsidR="00322EA4">
        <w:rPr>
          <w:sz w:val="24"/>
          <w:szCs w:val="24"/>
        </w:rPr>
        <w:t>June</w:t>
      </w:r>
      <w:r>
        <w:rPr>
          <w:sz w:val="24"/>
          <w:szCs w:val="24"/>
        </w:rPr>
        <w:t>, 201</w:t>
      </w:r>
      <w:r w:rsidR="00046DAC">
        <w:rPr>
          <w:sz w:val="24"/>
          <w:szCs w:val="24"/>
        </w:rPr>
        <w:t>7</w:t>
      </w:r>
    </w:p>
    <w:p w:rsidR="00612917" w:rsidRDefault="00612917" w:rsidP="00612917">
      <w:pPr>
        <w:rPr>
          <w:sz w:val="24"/>
          <w:szCs w:val="24"/>
        </w:rPr>
      </w:pPr>
    </w:p>
    <w:p w:rsidR="00322EA4" w:rsidRDefault="00322EA4" w:rsidP="00612917">
      <w:pPr>
        <w:rPr>
          <w:sz w:val="24"/>
          <w:szCs w:val="24"/>
        </w:rPr>
      </w:pPr>
    </w:p>
    <w:p w:rsidR="00322EA4" w:rsidRDefault="00322EA4" w:rsidP="003F6532">
      <w:pPr>
        <w:pStyle w:val="ListParagraph"/>
        <w:numPr>
          <w:ilvl w:val="0"/>
          <w:numId w:val="7"/>
        </w:numPr>
        <w:ind w:left="360"/>
        <w:rPr>
          <w:sz w:val="24"/>
          <w:szCs w:val="24"/>
        </w:rPr>
      </w:pPr>
      <w:r>
        <w:rPr>
          <w:sz w:val="24"/>
          <w:szCs w:val="24"/>
        </w:rPr>
        <w:t>Why are endowed chair/professorships moving to 3 year renewal terms even though Hatch projects, Extension Plans of work, and post-tenure reviews are still on 5 year terms?</w:t>
      </w:r>
    </w:p>
    <w:p w:rsidR="003F6532" w:rsidRPr="006F028B" w:rsidRDefault="003F6532" w:rsidP="003F6532">
      <w:pPr>
        <w:ind w:left="360"/>
        <w:rPr>
          <w:color w:val="4F81BD" w:themeColor="accent1"/>
          <w:sz w:val="24"/>
          <w:szCs w:val="24"/>
        </w:rPr>
      </w:pPr>
      <w:r w:rsidRPr="006F028B">
        <w:rPr>
          <w:color w:val="4F81BD" w:themeColor="accent1"/>
          <w:sz w:val="24"/>
          <w:szCs w:val="24"/>
        </w:rPr>
        <w:t>At the outset of the Branding Success campaign, university administration asked all colleges, in coordination with the OSU Foundation, to create new chairs/professorships as 3 year terms and to convert existing chairs/professorships, if possible, to 3 year terms.  In DASNR, we also changed our practice of filling chairs and professorships throughout the year, to a July 1 begin date, with rare exceptions.</w:t>
      </w:r>
    </w:p>
    <w:p w:rsidR="00322EA4" w:rsidRDefault="00322EA4" w:rsidP="003F6532">
      <w:pPr>
        <w:rPr>
          <w:sz w:val="24"/>
          <w:szCs w:val="24"/>
        </w:rPr>
      </w:pPr>
    </w:p>
    <w:p w:rsidR="0079405D" w:rsidRPr="006F028B" w:rsidRDefault="00322EA4" w:rsidP="006F028B">
      <w:pPr>
        <w:pStyle w:val="ListParagraph"/>
        <w:numPr>
          <w:ilvl w:val="0"/>
          <w:numId w:val="7"/>
        </w:numPr>
        <w:ind w:left="360"/>
        <w:rPr>
          <w:sz w:val="24"/>
          <w:szCs w:val="24"/>
        </w:rPr>
      </w:pPr>
      <w:r>
        <w:rPr>
          <w:sz w:val="24"/>
          <w:szCs w:val="24"/>
        </w:rPr>
        <w:t xml:space="preserve"> Given the budget shortfall, which we have heard is being offset largely through attrition, has DASNR leadership identified priority areas or strategic issues that it will use to determine program funding/positions to be filled?  Or, alternatively, will DASNR programming in the near future reflect primarily the programs currently in place supported with existing staff and faculty (i.e. maintain the status quo)?</w:t>
      </w:r>
    </w:p>
    <w:p w:rsidR="00D6270F" w:rsidRPr="006F028B" w:rsidRDefault="00D6270F" w:rsidP="007E0EB9">
      <w:pPr>
        <w:ind w:left="360"/>
        <w:rPr>
          <w:color w:val="4F81BD" w:themeColor="accent1"/>
          <w:sz w:val="24"/>
        </w:rPr>
      </w:pPr>
      <w:r w:rsidRPr="006F028B">
        <w:rPr>
          <w:color w:val="4F81BD" w:themeColor="accent1"/>
          <w:sz w:val="24"/>
        </w:rPr>
        <w:t xml:space="preserve">The basic strategy </w:t>
      </w:r>
      <w:r w:rsidR="0079405D" w:rsidRPr="006F028B">
        <w:rPr>
          <w:color w:val="4F81BD" w:themeColor="accent1"/>
          <w:sz w:val="24"/>
        </w:rPr>
        <w:t>has been</w:t>
      </w:r>
      <w:r w:rsidRPr="006F028B">
        <w:rPr>
          <w:color w:val="4F81BD" w:themeColor="accent1"/>
          <w:sz w:val="24"/>
        </w:rPr>
        <w:t xml:space="preserve"> to use reserves to fund shortfalls until attrition due to r</w:t>
      </w:r>
      <w:r w:rsidR="0079405D" w:rsidRPr="006F028B">
        <w:rPr>
          <w:color w:val="4F81BD" w:themeColor="accent1"/>
          <w:sz w:val="24"/>
        </w:rPr>
        <w:t>etirements and resignations cut</w:t>
      </w:r>
      <w:r w:rsidRPr="006F028B">
        <w:rPr>
          <w:color w:val="4F81BD" w:themeColor="accent1"/>
          <w:sz w:val="24"/>
        </w:rPr>
        <w:t xml:space="preserve"> the budget by the needed amount.  </w:t>
      </w:r>
      <w:r w:rsidR="0079405D" w:rsidRPr="006F028B">
        <w:rPr>
          <w:color w:val="4F81BD" w:themeColor="accent1"/>
          <w:sz w:val="24"/>
        </w:rPr>
        <w:t xml:space="preserve">In addition, we have reduced operating costs throughout the organization and have sought to leverage university-provided services as much as possible. </w:t>
      </w:r>
      <w:r w:rsidRPr="006F028B">
        <w:rPr>
          <w:color w:val="4F81BD" w:themeColor="accent1"/>
          <w:sz w:val="24"/>
        </w:rPr>
        <w:t xml:space="preserve">This strategy </w:t>
      </w:r>
      <w:r w:rsidR="0079405D" w:rsidRPr="006F028B">
        <w:rPr>
          <w:color w:val="4F81BD" w:themeColor="accent1"/>
          <w:sz w:val="24"/>
        </w:rPr>
        <w:t xml:space="preserve">has </w:t>
      </w:r>
      <w:r w:rsidRPr="006F028B">
        <w:rPr>
          <w:color w:val="4F81BD" w:themeColor="accent1"/>
          <w:sz w:val="24"/>
        </w:rPr>
        <w:t>result</w:t>
      </w:r>
      <w:r w:rsidR="0079405D" w:rsidRPr="006F028B">
        <w:rPr>
          <w:color w:val="4F81BD" w:themeColor="accent1"/>
          <w:sz w:val="24"/>
        </w:rPr>
        <w:t>ed</w:t>
      </w:r>
      <w:r w:rsidRPr="006F028B">
        <w:rPr>
          <w:color w:val="4F81BD" w:themeColor="accent1"/>
          <w:sz w:val="24"/>
        </w:rPr>
        <w:t xml:space="preserve"> in vacancies in some areas of expertise that we will need to continue to serve. In the</w:t>
      </w:r>
      <w:r w:rsidR="0079405D" w:rsidRPr="006F028B">
        <w:rPr>
          <w:color w:val="4F81BD" w:themeColor="accent1"/>
          <w:sz w:val="24"/>
        </w:rPr>
        <w:t xml:space="preserve"> short term, we have </w:t>
      </w:r>
      <w:r w:rsidRPr="006F028B">
        <w:rPr>
          <w:color w:val="4F81BD" w:themeColor="accent1"/>
          <w:sz w:val="24"/>
        </w:rPr>
        <w:t>work</w:t>
      </w:r>
      <w:r w:rsidR="0079405D" w:rsidRPr="006F028B">
        <w:rPr>
          <w:color w:val="4F81BD" w:themeColor="accent1"/>
          <w:sz w:val="24"/>
        </w:rPr>
        <w:t>ed</w:t>
      </w:r>
      <w:r w:rsidRPr="006F028B">
        <w:rPr>
          <w:color w:val="4F81BD" w:themeColor="accent1"/>
          <w:sz w:val="24"/>
        </w:rPr>
        <w:t xml:space="preserve"> with the units affected to develop ways of serving these needs with current staffing. </w:t>
      </w:r>
      <w:r w:rsidR="0079405D" w:rsidRPr="006F028B">
        <w:rPr>
          <w:color w:val="4F81BD" w:themeColor="accent1"/>
          <w:sz w:val="24"/>
        </w:rPr>
        <w:t>In the longer term, we will invest back into core programmatic needs as funds become available from vacancies in other programs and other cost savings.</w:t>
      </w:r>
    </w:p>
    <w:p w:rsidR="0079405D" w:rsidRPr="006F028B" w:rsidRDefault="0079405D" w:rsidP="007E0EB9">
      <w:pPr>
        <w:ind w:left="360"/>
        <w:rPr>
          <w:color w:val="4F81BD" w:themeColor="accent1"/>
          <w:sz w:val="24"/>
        </w:rPr>
      </w:pPr>
    </w:p>
    <w:p w:rsidR="0079405D" w:rsidRPr="006F028B" w:rsidRDefault="0079405D" w:rsidP="007E0EB9">
      <w:pPr>
        <w:ind w:left="360"/>
        <w:rPr>
          <w:color w:val="4F81BD" w:themeColor="accent1"/>
          <w:sz w:val="24"/>
        </w:rPr>
      </w:pPr>
      <w:r w:rsidRPr="006F028B">
        <w:rPr>
          <w:color w:val="4F81BD" w:themeColor="accent1"/>
          <w:sz w:val="24"/>
        </w:rPr>
        <w:t>We will invest back into positions gradually, based on funds being available from cost-savings and vacancies and based on much further reduction we face in state and federal funding.  We made limited investments back into positions in the current academic year, and even with the additional 6.1% reduction in state funding for FY2018, we anticipate making further investments back into core faculty positions.</w:t>
      </w:r>
    </w:p>
    <w:p w:rsidR="0079405D" w:rsidRPr="006F028B" w:rsidRDefault="0079405D" w:rsidP="007E0EB9">
      <w:pPr>
        <w:ind w:left="360"/>
        <w:rPr>
          <w:color w:val="4F81BD" w:themeColor="accent1"/>
          <w:sz w:val="24"/>
        </w:rPr>
      </w:pPr>
    </w:p>
    <w:p w:rsidR="0079405D" w:rsidRPr="00682CBE" w:rsidRDefault="0079405D" w:rsidP="007E0EB9">
      <w:pPr>
        <w:ind w:left="360"/>
        <w:rPr>
          <w:color w:val="FF0000"/>
          <w:sz w:val="24"/>
        </w:rPr>
      </w:pPr>
      <w:r w:rsidRPr="006F028B">
        <w:rPr>
          <w:color w:val="4F81BD" w:themeColor="accent1"/>
          <w:sz w:val="24"/>
        </w:rPr>
        <w:t>As for what constitutes a core faculty position, we rely on academic department heads to make the case for programmatic and expertise needs in line with the department’s academic program, research and Extension needs. We evaluate these needs in the context of the eleven Drivers of Change articulated in the</w:t>
      </w:r>
      <w:r w:rsidRPr="00682CBE">
        <w:rPr>
          <w:color w:val="FF0000"/>
          <w:sz w:val="24"/>
        </w:rPr>
        <w:t xml:space="preserve"> </w:t>
      </w:r>
      <w:hyperlink r:id="rId5" w:history="1">
        <w:r w:rsidRPr="00682CBE">
          <w:rPr>
            <w:rStyle w:val="Hyperlink"/>
            <w:sz w:val="24"/>
          </w:rPr>
          <w:t>Division’s planning document</w:t>
        </w:r>
      </w:hyperlink>
      <w:r w:rsidRPr="00682CBE">
        <w:rPr>
          <w:color w:val="FF0000"/>
          <w:sz w:val="24"/>
        </w:rPr>
        <w:t xml:space="preserve">. </w:t>
      </w:r>
    </w:p>
    <w:p w:rsidR="00322EA4" w:rsidRDefault="00322EA4" w:rsidP="003F6532">
      <w:pPr>
        <w:rPr>
          <w:sz w:val="24"/>
          <w:szCs w:val="24"/>
        </w:rPr>
      </w:pPr>
    </w:p>
    <w:p w:rsidR="007E0EB9" w:rsidRDefault="00322EA4" w:rsidP="007E0EB9">
      <w:pPr>
        <w:pStyle w:val="ListParagraph"/>
        <w:numPr>
          <w:ilvl w:val="0"/>
          <w:numId w:val="7"/>
        </w:numPr>
        <w:ind w:left="360"/>
        <w:rPr>
          <w:sz w:val="24"/>
          <w:szCs w:val="24"/>
        </w:rPr>
      </w:pPr>
      <w:r>
        <w:rPr>
          <w:sz w:val="24"/>
          <w:szCs w:val="24"/>
        </w:rPr>
        <w:t xml:space="preserve"> What is the status of the college-le</w:t>
      </w:r>
      <w:r w:rsidR="0079405D">
        <w:rPr>
          <w:sz w:val="24"/>
          <w:szCs w:val="24"/>
        </w:rPr>
        <w:t>d</w:t>
      </w:r>
      <w:r>
        <w:rPr>
          <w:sz w:val="24"/>
          <w:szCs w:val="24"/>
        </w:rPr>
        <w:t xml:space="preserve"> strategic planning activity?</w:t>
      </w:r>
    </w:p>
    <w:p w:rsidR="007E0EB9" w:rsidRPr="006F028B" w:rsidRDefault="007E0EB9" w:rsidP="006F028B">
      <w:pPr>
        <w:pStyle w:val="ListParagraph"/>
        <w:ind w:left="450"/>
        <w:rPr>
          <w:color w:val="4F81BD" w:themeColor="accent1"/>
          <w:sz w:val="24"/>
          <w:szCs w:val="24"/>
        </w:rPr>
      </w:pPr>
      <w:r w:rsidRPr="006F028B">
        <w:rPr>
          <w:color w:val="4F81BD" w:themeColor="accent1"/>
          <w:sz w:val="24"/>
          <w:szCs w:val="24"/>
        </w:rPr>
        <w:lastRenderedPageBreak/>
        <w:t>The planning effort was put on hold after the budget cuts of FY2017. I look forward to restarting the process with Faculty Council and unit administrator advice and participation in fall semester, 2017.</w:t>
      </w:r>
    </w:p>
    <w:p w:rsidR="007E0EB9" w:rsidRPr="007E0EB9" w:rsidRDefault="007E0EB9" w:rsidP="007E0EB9">
      <w:pPr>
        <w:pStyle w:val="ListParagraph"/>
        <w:ind w:left="360"/>
        <w:rPr>
          <w:color w:val="FF0000"/>
          <w:sz w:val="24"/>
          <w:szCs w:val="24"/>
        </w:rPr>
      </w:pPr>
    </w:p>
    <w:p w:rsidR="00213D2D" w:rsidRDefault="00213D2D" w:rsidP="003F6532">
      <w:pPr>
        <w:rPr>
          <w:sz w:val="24"/>
          <w:szCs w:val="24"/>
        </w:rPr>
      </w:pPr>
    </w:p>
    <w:p w:rsidR="00682CBE" w:rsidRPr="007470A6" w:rsidRDefault="00213D2D" w:rsidP="007470A6">
      <w:pPr>
        <w:pStyle w:val="ListParagraph"/>
        <w:numPr>
          <w:ilvl w:val="0"/>
          <w:numId w:val="7"/>
        </w:numPr>
        <w:ind w:left="360"/>
        <w:rPr>
          <w:sz w:val="24"/>
          <w:szCs w:val="24"/>
        </w:rPr>
      </w:pPr>
      <w:r>
        <w:rPr>
          <w:sz w:val="24"/>
          <w:szCs w:val="24"/>
        </w:rPr>
        <w:t>When addressing next year’s budget you referred to use of funds to “transition to a smaller and more focused research expertise and delivery system”.  Is that referring to research / extension in general or also referring to academic departments?</w:t>
      </w:r>
    </w:p>
    <w:p w:rsidR="00682CBE" w:rsidRPr="007470A6" w:rsidRDefault="00682CBE" w:rsidP="00682CBE">
      <w:pPr>
        <w:pStyle w:val="ListParagraph"/>
        <w:ind w:left="360"/>
        <w:rPr>
          <w:color w:val="4F81BD" w:themeColor="accent1"/>
          <w:sz w:val="24"/>
          <w:szCs w:val="24"/>
        </w:rPr>
      </w:pPr>
      <w:r w:rsidRPr="007470A6">
        <w:rPr>
          <w:color w:val="4F81BD" w:themeColor="accent1"/>
          <w:sz w:val="24"/>
          <w:szCs w:val="24"/>
        </w:rPr>
        <w:t>The specific intent of that statement was to highlight the fact that it is our Extension and Experiment Station agencies that have been most severely affected by the nature of the state budget cuts to higher education. And so these cuts affect our ability to maintain as many research and Extension centers as we have, to employ as many research-support staff as we have, to hire as many faculty research and Extension FTE, and to hire as many Extension educators and area specialists. They may eventually limit the number of county Extension offices we can staff as well. So the statement was specific to research and Extension.</w:t>
      </w:r>
    </w:p>
    <w:p w:rsidR="00682CBE" w:rsidRPr="007470A6" w:rsidRDefault="00682CBE" w:rsidP="00682CBE">
      <w:pPr>
        <w:pStyle w:val="ListParagraph"/>
        <w:ind w:left="360"/>
        <w:rPr>
          <w:color w:val="4F81BD" w:themeColor="accent1"/>
          <w:sz w:val="24"/>
          <w:szCs w:val="24"/>
        </w:rPr>
      </w:pPr>
    </w:p>
    <w:p w:rsidR="00682CBE" w:rsidRPr="007470A6" w:rsidRDefault="00682CBE" w:rsidP="00682CBE">
      <w:pPr>
        <w:pStyle w:val="ListParagraph"/>
        <w:ind w:left="360"/>
        <w:rPr>
          <w:color w:val="4F81BD" w:themeColor="accent1"/>
          <w:sz w:val="24"/>
          <w:szCs w:val="24"/>
        </w:rPr>
      </w:pPr>
      <w:r w:rsidRPr="007470A6">
        <w:rPr>
          <w:color w:val="4F81BD" w:themeColor="accent1"/>
          <w:sz w:val="24"/>
          <w:szCs w:val="24"/>
        </w:rPr>
        <w:t xml:space="preserve">However, DASNR is a Division that integrates teaching with research and Extension.  In particular, many faculty who teach courses in CASNR also have some support from OAES and/or OCES.  Therefore even though university support for CASNR has not been cut as severely as state support for OAES and OCES, the fact that we are reducing the number of faculty with expertise in particular areas means we will lose some of that expertise for our academic programs as well.  </w:t>
      </w:r>
    </w:p>
    <w:p w:rsidR="003F6532" w:rsidRDefault="003F6532" w:rsidP="003F6532">
      <w:pPr>
        <w:rPr>
          <w:sz w:val="24"/>
          <w:szCs w:val="24"/>
        </w:rPr>
      </w:pPr>
    </w:p>
    <w:p w:rsidR="006F028B" w:rsidRPr="006F028B" w:rsidRDefault="003F6532" w:rsidP="006F028B">
      <w:pPr>
        <w:pStyle w:val="ListParagraph"/>
        <w:numPr>
          <w:ilvl w:val="0"/>
          <w:numId w:val="7"/>
        </w:numPr>
        <w:ind w:left="360"/>
        <w:rPr>
          <w:sz w:val="24"/>
          <w:szCs w:val="24"/>
        </w:rPr>
      </w:pPr>
      <w:r>
        <w:rPr>
          <w:sz w:val="24"/>
          <w:szCs w:val="24"/>
        </w:rPr>
        <w:t>How is DASNR using F&amp;A funds?</w:t>
      </w:r>
    </w:p>
    <w:p w:rsidR="003F6532" w:rsidRPr="007470A6" w:rsidRDefault="000D0AD9" w:rsidP="003F6532">
      <w:pPr>
        <w:ind w:left="360"/>
        <w:rPr>
          <w:color w:val="4F81BD" w:themeColor="accent1"/>
          <w:sz w:val="24"/>
        </w:rPr>
      </w:pPr>
      <w:r w:rsidRPr="007470A6">
        <w:rPr>
          <w:color w:val="4F81BD" w:themeColor="accent1"/>
          <w:sz w:val="24"/>
        </w:rPr>
        <w:t>F&amp;A are also known as indirect costs, or IDCs.  F&amp;As</w:t>
      </w:r>
      <w:r w:rsidR="003F6532" w:rsidRPr="007470A6">
        <w:rPr>
          <w:color w:val="4F81BD" w:themeColor="accent1"/>
          <w:sz w:val="24"/>
        </w:rPr>
        <w:t xml:space="preserve"> represents the university’s cost for the sponsored project in providing shared services, facilities, and administrative infrastructure needed to support all projects and thus cannot easily be attributed to a specific sponsored project, program, or research grant.</w:t>
      </w:r>
    </w:p>
    <w:p w:rsidR="003F6532" w:rsidRPr="007470A6" w:rsidRDefault="003F6532" w:rsidP="003F6532">
      <w:pPr>
        <w:ind w:left="360"/>
        <w:rPr>
          <w:color w:val="4F81BD" w:themeColor="accent1"/>
          <w:sz w:val="24"/>
        </w:rPr>
      </w:pPr>
    </w:p>
    <w:p w:rsidR="003F6532" w:rsidRPr="007470A6" w:rsidRDefault="003F6532" w:rsidP="003F6532">
      <w:pPr>
        <w:ind w:left="360"/>
        <w:rPr>
          <w:color w:val="4F81BD" w:themeColor="accent1"/>
          <w:sz w:val="24"/>
        </w:rPr>
      </w:pPr>
      <w:r w:rsidRPr="007470A6">
        <w:rPr>
          <w:color w:val="4F81BD" w:themeColor="accent1"/>
          <w:sz w:val="24"/>
        </w:rPr>
        <w:t>F&amp;A income is a reimbursement for expenses already incurred by Oklahoma State University in support of sponsored projects.  Oklahoma State University DOES NOT get a check for F&amp;A costs when the project is funded.  In fact, we do not receive this funding until after the direct costs (costs assigned to a sponsored project relatively easily and with a high degree of accuracy) are actually expended.</w:t>
      </w:r>
    </w:p>
    <w:p w:rsidR="003F6532" w:rsidRPr="007470A6" w:rsidRDefault="003F6532" w:rsidP="003F6532">
      <w:pPr>
        <w:ind w:left="360"/>
        <w:rPr>
          <w:color w:val="4F81BD" w:themeColor="accent1"/>
          <w:sz w:val="24"/>
        </w:rPr>
      </w:pPr>
    </w:p>
    <w:p w:rsidR="008034A4" w:rsidRPr="007470A6" w:rsidRDefault="000D0AD9" w:rsidP="003F6532">
      <w:pPr>
        <w:ind w:left="360"/>
        <w:rPr>
          <w:color w:val="4F81BD" w:themeColor="accent1"/>
          <w:sz w:val="24"/>
        </w:rPr>
      </w:pPr>
      <w:r w:rsidRPr="007470A6">
        <w:rPr>
          <w:color w:val="4F81BD" w:themeColor="accent1"/>
          <w:sz w:val="24"/>
        </w:rPr>
        <w:t>A portion of the indirect costs are returned to DASNR</w:t>
      </w:r>
      <w:r w:rsidR="00682CBE">
        <w:rPr>
          <w:color w:val="FF0000"/>
          <w:sz w:val="24"/>
        </w:rPr>
        <w:t xml:space="preserve"> </w:t>
      </w:r>
      <w:r w:rsidR="00682CBE">
        <w:rPr>
          <w:b/>
          <w:sz w:val="24"/>
        </w:rPr>
        <w:t>(</w:t>
      </w:r>
      <w:r w:rsidR="00B47FE4">
        <w:rPr>
          <w:b/>
          <w:sz w:val="24"/>
        </w:rPr>
        <w:t>45</w:t>
      </w:r>
      <w:r w:rsidR="00682CBE" w:rsidRPr="00682CBE">
        <w:rPr>
          <w:b/>
          <w:sz w:val="24"/>
        </w:rPr>
        <w:t>%)</w:t>
      </w:r>
      <w:r w:rsidRPr="007470A6">
        <w:rPr>
          <w:color w:val="4F81BD" w:themeColor="accent1"/>
          <w:sz w:val="24"/>
        </w:rPr>
        <w:t>,</w:t>
      </w:r>
      <w:r w:rsidRPr="00682CBE">
        <w:rPr>
          <w:color w:val="FF0000"/>
          <w:sz w:val="24"/>
        </w:rPr>
        <w:t xml:space="preserve"> </w:t>
      </w:r>
      <w:r w:rsidRPr="007470A6">
        <w:rPr>
          <w:color w:val="4F81BD" w:themeColor="accent1"/>
          <w:sz w:val="24"/>
        </w:rPr>
        <w:t xml:space="preserve">also for the purpose of providing shared services, facilities, and administrative infrastructure. </w:t>
      </w:r>
      <w:r w:rsidR="000E652D" w:rsidRPr="007470A6">
        <w:rPr>
          <w:color w:val="4F81BD" w:themeColor="accent1"/>
          <w:sz w:val="24"/>
        </w:rPr>
        <w:t xml:space="preserve">F&amp;A distributions from OSU occur twice yearly (July and January) for </w:t>
      </w:r>
      <w:r w:rsidR="000E652D" w:rsidRPr="007470A6">
        <w:rPr>
          <w:color w:val="4F81BD" w:themeColor="accent1"/>
          <w:sz w:val="24"/>
        </w:rPr>
        <w:lastRenderedPageBreak/>
        <w:t xml:space="preserve">the previous 6-month period.  </w:t>
      </w:r>
      <w:r w:rsidR="00B47FE4" w:rsidRPr="007470A6">
        <w:rPr>
          <w:color w:val="4F81BD" w:themeColor="accent1"/>
          <w:sz w:val="24"/>
        </w:rPr>
        <w:t xml:space="preserve">University policy requires that some of the returned F&amp;A must go to the PI </w:t>
      </w:r>
      <w:r w:rsidR="00B47FE4" w:rsidRPr="008034A4">
        <w:rPr>
          <w:b/>
          <w:sz w:val="24"/>
        </w:rPr>
        <w:t>(at least 10%</w:t>
      </w:r>
      <w:r w:rsidR="00B47FE4">
        <w:rPr>
          <w:b/>
          <w:sz w:val="24"/>
        </w:rPr>
        <w:t xml:space="preserve"> of the amount returned to DASNR, equaling 4.5% of the total</w:t>
      </w:r>
      <w:r w:rsidR="00B47FE4" w:rsidRPr="008034A4">
        <w:rPr>
          <w:b/>
          <w:sz w:val="24"/>
        </w:rPr>
        <w:t>)</w:t>
      </w:r>
      <w:r w:rsidR="00B47FE4" w:rsidRPr="008034A4">
        <w:rPr>
          <w:sz w:val="24"/>
        </w:rPr>
        <w:t xml:space="preserve"> </w:t>
      </w:r>
      <w:r w:rsidR="00B47FE4" w:rsidRPr="007470A6">
        <w:rPr>
          <w:color w:val="4F81BD" w:themeColor="accent1"/>
          <w:sz w:val="24"/>
        </w:rPr>
        <w:t xml:space="preserve">for use in supporting their facility, equipment and support needs.  </w:t>
      </w:r>
      <w:r w:rsidR="000E652D" w:rsidRPr="007470A6">
        <w:rPr>
          <w:color w:val="4F81BD" w:themeColor="accent1"/>
          <w:sz w:val="24"/>
        </w:rPr>
        <w:t xml:space="preserve">A portion is then returned to the </w:t>
      </w:r>
      <w:r w:rsidRPr="007470A6">
        <w:rPr>
          <w:color w:val="4F81BD" w:themeColor="accent1"/>
          <w:sz w:val="24"/>
        </w:rPr>
        <w:t>department</w:t>
      </w:r>
      <w:r w:rsidR="00682CBE" w:rsidRPr="007470A6">
        <w:rPr>
          <w:color w:val="4F81BD" w:themeColor="accent1"/>
          <w:sz w:val="24"/>
        </w:rPr>
        <w:t xml:space="preserve"> </w:t>
      </w:r>
      <w:r w:rsidR="00682CBE" w:rsidRPr="008034A4">
        <w:rPr>
          <w:b/>
          <w:sz w:val="24"/>
        </w:rPr>
        <w:t>(</w:t>
      </w:r>
      <w:r w:rsidR="00B47FE4">
        <w:rPr>
          <w:b/>
          <w:sz w:val="24"/>
        </w:rPr>
        <w:t>50</w:t>
      </w:r>
      <w:r w:rsidR="00682CBE" w:rsidRPr="008034A4">
        <w:rPr>
          <w:b/>
          <w:sz w:val="24"/>
        </w:rPr>
        <w:t>%</w:t>
      </w:r>
      <w:r w:rsidR="00B47FE4">
        <w:rPr>
          <w:b/>
          <w:sz w:val="24"/>
        </w:rPr>
        <w:t xml:space="preserve"> of the funds returned to DASNR, or 22.5% of the total</w:t>
      </w:r>
      <w:r w:rsidR="00682CBE" w:rsidRPr="008034A4">
        <w:rPr>
          <w:b/>
          <w:sz w:val="24"/>
        </w:rPr>
        <w:t>)</w:t>
      </w:r>
      <w:r w:rsidRPr="007470A6">
        <w:rPr>
          <w:color w:val="4F81BD" w:themeColor="accent1"/>
          <w:sz w:val="24"/>
        </w:rPr>
        <w:t>,</w:t>
      </w:r>
      <w:r w:rsidRPr="00682CBE">
        <w:rPr>
          <w:color w:val="FF0000"/>
          <w:sz w:val="24"/>
        </w:rPr>
        <w:t xml:space="preserve"> </w:t>
      </w:r>
      <w:r w:rsidR="00682CBE" w:rsidRPr="007470A6">
        <w:rPr>
          <w:color w:val="4F81BD" w:themeColor="accent1"/>
          <w:sz w:val="24"/>
        </w:rPr>
        <w:t xml:space="preserve">and the remainder </w:t>
      </w:r>
      <w:r w:rsidR="00B47FE4" w:rsidRPr="007470A6">
        <w:rPr>
          <w:color w:val="4F81BD" w:themeColor="accent1"/>
          <w:sz w:val="24"/>
        </w:rPr>
        <w:t xml:space="preserve">(40% of the amount returned to DASNR) </w:t>
      </w:r>
      <w:r w:rsidR="00682CBE" w:rsidRPr="007470A6">
        <w:rPr>
          <w:color w:val="4F81BD" w:themeColor="accent1"/>
          <w:sz w:val="24"/>
        </w:rPr>
        <w:t xml:space="preserve">goes to OAES and OCES for use in addressing infrastructure and administrative support needs in the agencies.  Each department handles </w:t>
      </w:r>
      <w:r w:rsidR="008034A4" w:rsidRPr="007470A6">
        <w:rPr>
          <w:color w:val="4F81BD" w:themeColor="accent1"/>
          <w:sz w:val="24"/>
        </w:rPr>
        <w:t xml:space="preserve">the distribution of returned F&amp;A funds based on the relative needs of departmental support and individual or team research efforts. </w:t>
      </w:r>
    </w:p>
    <w:p w:rsidR="006F028B" w:rsidRPr="007470A6" w:rsidRDefault="006F028B" w:rsidP="003F6532">
      <w:pPr>
        <w:ind w:left="360"/>
        <w:rPr>
          <w:color w:val="4F81BD" w:themeColor="accent1"/>
          <w:sz w:val="24"/>
        </w:rPr>
      </w:pPr>
    </w:p>
    <w:p w:rsidR="006F028B" w:rsidRPr="007470A6" w:rsidRDefault="006F028B" w:rsidP="003F6532">
      <w:pPr>
        <w:ind w:left="360"/>
        <w:rPr>
          <w:color w:val="4F81BD" w:themeColor="accent1"/>
          <w:sz w:val="24"/>
        </w:rPr>
      </w:pPr>
      <w:r w:rsidRPr="007470A6">
        <w:rPr>
          <w:color w:val="4F81BD" w:themeColor="accent1"/>
          <w:sz w:val="24"/>
        </w:rPr>
        <w:t>The following table was provided to department heads in October for the purpose of sharing with faculty in the units.</w:t>
      </w:r>
    </w:p>
    <w:p w:rsidR="005774E8" w:rsidRDefault="005774E8" w:rsidP="003F6532">
      <w:pPr>
        <w:ind w:left="360"/>
        <w:rPr>
          <w:color w:val="FF0000"/>
          <w:sz w:val="24"/>
        </w:rPr>
      </w:pPr>
    </w:p>
    <w:tbl>
      <w:tblPr>
        <w:tblW w:w="7124" w:type="dxa"/>
        <w:jc w:val="center"/>
        <w:tblCellMar>
          <w:left w:w="0" w:type="dxa"/>
          <w:right w:w="0" w:type="dxa"/>
        </w:tblCellMar>
        <w:tblLook w:val="04A0" w:firstRow="1" w:lastRow="0" w:firstColumn="1" w:lastColumn="0" w:noHBand="0" w:noVBand="1"/>
      </w:tblPr>
      <w:tblGrid>
        <w:gridCol w:w="2040"/>
        <w:gridCol w:w="1440"/>
        <w:gridCol w:w="1080"/>
        <w:gridCol w:w="1480"/>
        <w:gridCol w:w="1084"/>
      </w:tblGrid>
      <w:tr w:rsidR="002A0111" w:rsidTr="002A0111">
        <w:trPr>
          <w:trHeight w:val="300"/>
          <w:jc w:val="center"/>
        </w:trPr>
        <w:tc>
          <w:tcPr>
            <w:tcW w:w="2040" w:type="dxa"/>
            <w:tcBorders>
              <w:top w:val="single" w:sz="8" w:space="0" w:color="B4C6E7"/>
              <w:left w:val="single" w:sz="8" w:space="0" w:color="B4C6E7"/>
              <w:bottom w:val="single" w:sz="12" w:space="0" w:color="8EAADB"/>
              <w:right w:val="single" w:sz="8" w:space="0" w:color="B4C6E7"/>
            </w:tcBorders>
            <w:noWrap/>
            <w:tcMar>
              <w:top w:w="0" w:type="dxa"/>
              <w:left w:w="108" w:type="dxa"/>
              <w:bottom w:w="0" w:type="dxa"/>
              <w:right w:w="108" w:type="dxa"/>
            </w:tcMar>
            <w:hideMark/>
          </w:tcPr>
          <w:p w:rsidR="002A0111" w:rsidRDefault="002A0111">
            <w:pPr>
              <w:rPr>
                <w:b/>
                <w:bCs/>
                <w:color w:val="000000"/>
              </w:rPr>
            </w:pPr>
            <w:r>
              <w:rPr>
                <w:b/>
                <w:bCs/>
                <w:color w:val="000000"/>
              </w:rPr>
              <w:t>Example</w:t>
            </w:r>
          </w:p>
        </w:tc>
        <w:tc>
          <w:tcPr>
            <w:tcW w:w="1440" w:type="dxa"/>
            <w:tcBorders>
              <w:top w:val="single" w:sz="8" w:space="0" w:color="B4C6E7"/>
              <w:left w:val="nil"/>
              <w:bottom w:val="single" w:sz="12" w:space="0" w:color="8EAADB"/>
              <w:right w:val="single" w:sz="8" w:space="0" w:color="B4C6E7"/>
            </w:tcBorders>
            <w:noWrap/>
            <w:tcMar>
              <w:top w:w="0" w:type="dxa"/>
              <w:left w:w="108" w:type="dxa"/>
              <w:bottom w:w="0" w:type="dxa"/>
              <w:right w:w="108" w:type="dxa"/>
            </w:tcMar>
            <w:hideMark/>
          </w:tcPr>
          <w:p w:rsidR="002A0111" w:rsidRDefault="002A0111">
            <w:pPr>
              <w:rPr>
                <w:b/>
                <w:bCs/>
                <w:color w:val="000000"/>
              </w:rPr>
            </w:pPr>
          </w:p>
        </w:tc>
        <w:tc>
          <w:tcPr>
            <w:tcW w:w="1080" w:type="dxa"/>
            <w:tcBorders>
              <w:top w:val="single" w:sz="8" w:space="0" w:color="B4C6E7"/>
              <w:left w:val="nil"/>
              <w:bottom w:val="single" w:sz="12" w:space="0" w:color="8EAADB"/>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c>
          <w:tcPr>
            <w:tcW w:w="1480" w:type="dxa"/>
            <w:tcBorders>
              <w:top w:val="single" w:sz="8" w:space="0" w:color="B4C6E7"/>
              <w:left w:val="nil"/>
              <w:bottom w:val="single" w:sz="12" w:space="0" w:color="8EAADB"/>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c>
          <w:tcPr>
            <w:tcW w:w="1084" w:type="dxa"/>
            <w:tcBorders>
              <w:top w:val="single" w:sz="8" w:space="0" w:color="B4C6E7"/>
              <w:left w:val="nil"/>
              <w:bottom w:val="single" w:sz="12" w:space="0" w:color="8EAADB"/>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r>
      <w:tr w:rsidR="002A0111" w:rsidTr="002A0111">
        <w:trPr>
          <w:trHeight w:val="300"/>
          <w:jc w:val="center"/>
        </w:trPr>
        <w:tc>
          <w:tcPr>
            <w:tcW w:w="2040" w:type="dxa"/>
            <w:tcBorders>
              <w:top w:val="nil"/>
              <w:left w:val="single" w:sz="8" w:space="0" w:color="B4C6E7"/>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c>
          <w:tcPr>
            <w:tcW w:w="144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c>
          <w:tcPr>
            <w:tcW w:w="10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c>
          <w:tcPr>
            <w:tcW w:w="2564" w:type="dxa"/>
            <w:gridSpan w:val="2"/>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center"/>
              <w:rPr>
                <w:color w:val="000000"/>
              </w:rPr>
            </w:pPr>
            <w:r>
              <w:rPr>
                <w:color w:val="000000"/>
              </w:rPr>
              <w:t>Percentage of</w:t>
            </w:r>
          </w:p>
        </w:tc>
      </w:tr>
      <w:tr w:rsidR="002A0111" w:rsidTr="002A0111">
        <w:trPr>
          <w:trHeight w:val="300"/>
          <w:jc w:val="center"/>
        </w:trPr>
        <w:tc>
          <w:tcPr>
            <w:tcW w:w="2040" w:type="dxa"/>
            <w:tcBorders>
              <w:top w:val="nil"/>
              <w:left w:val="single" w:sz="8" w:space="0" w:color="B4C6E7"/>
              <w:bottom w:val="single" w:sz="8" w:space="0" w:color="B4C6E7"/>
              <w:right w:val="single" w:sz="8" w:space="0" w:color="B4C6E7"/>
            </w:tcBorders>
            <w:noWrap/>
            <w:tcMar>
              <w:top w:w="0" w:type="dxa"/>
              <w:left w:w="108" w:type="dxa"/>
              <w:bottom w:w="0" w:type="dxa"/>
              <w:right w:w="108" w:type="dxa"/>
            </w:tcMar>
            <w:hideMark/>
          </w:tcPr>
          <w:p w:rsidR="002A0111" w:rsidRDefault="002A0111">
            <w:pPr>
              <w:rPr>
                <w:b/>
                <w:bCs/>
                <w:color w:val="000000"/>
              </w:rPr>
            </w:pPr>
            <w:r>
              <w:rPr>
                <w:b/>
                <w:bCs/>
                <w:color w:val="000000"/>
              </w:rPr>
              <w:t>IDC generated</w:t>
            </w:r>
          </w:p>
        </w:tc>
        <w:tc>
          <w:tcPr>
            <w:tcW w:w="144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$10,000</w:t>
            </w:r>
          </w:p>
        </w:tc>
        <w:tc>
          <w:tcPr>
            <w:tcW w:w="10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color w:val="000000"/>
              </w:rPr>
            </w:pPr>
          </w:p>
        </w:tc>
        <w:tc>
          <w:tcPr>
            <w:tcW w:w="14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color w:val="000000"/>
              </w:rPr>
            </w:pPr>
            <w:r>
              <w:rPr>
                <w:color w:val="000000"/>
              </w:rPr>
              <w:t>Total F&amp;A</w:t>
            </w:r>
          </w:p>
        </w:tc>
        <w:tc>
          <w:tcPr>
            <w:tcW w:w="1084"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color w:val="000000"/>
              </w:rPr>
            </w:pPr>
            <w:r>
              <w:rPr>
                <w:color w:val="000000"/>
              </w:rPr>
              <w:t>DASNR F&amp;A</w:t>
            </w:r>
          </w:p>
        </w:tc>
      </w:tr>
      <w:tr w:rsidR="002A0111" w:rsidTr="002A0111">
        <w:trPr>
          <w:trHeight w:val="300"/>
          <w:jc w:val="center"/>
        </w:trPr>
        <w:tc>
          <w:tcPr>
            <w:tcW w:w="2040" w:type="dxa"/>
            <w:tcBorders>
              <w:top w:val="nil"/>
              <w:left w:val="single" w:sz="8" w:space="0" w:color="B4C6E7"/>
              <w:bottom w:val="single" w:sz="8" w:space="0" w:color="B4C6E7"/>
              <w:right w:val="single" w:sz="8" w:space="0" w:color="B4C6E7"/>
            </w:tcBorders>
            <w:noWrap/>
            <w:tcMar>
              <w:top w:w="0" w:type="dxa"/>
              <w:left w:w="108" w:type="dxa"/>
              <w:bottom w:w="0" w:type="dxa"/>
              <w:right w:w="108" w:type="dxa"/>
            </w:tcMar>
            <w:hideMark/>
          </w:tcPr>
          <w:p w:rsidR="002A0111" w:rsidRDefault="002A0111">
            <w:pPr>
              <w:rPr>
                <w:b/>
                <w:bCs/>
                <w:color w:val="000000"/>
              </w:rPr>
            </w:pPr>
            <w:r>
              <w:rPr>
                <w:b/>
                <w:bCs/>
                <w:color w:val="000000"/>
              </w:rPr>
              <w:t>OSU Admin</w:t>
            </w:r>
          </w:p>
        </w:tc>
        <w:tc>
          <w:tcPr>
            <w:tcW w:w="144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55%</w:t>
            </w:r>
          </w:p>
        </w:tc>
        <w:tc>
          <w:tcPr>
            <w:tcW w:w="10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$5,500</w:t>
            </w:r>
          </w:p>
        </w:tc>
        <w:tc>
          <w:tcPr>
            <w:tcW w:w="14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55.00%</w:t>
            </w:r>
          </w:p>
        </w:tc>
        <w:tc>
          <w:tcPr>
            <w:tcW w:w="1084"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color w:val="000000"/>
              </w:rPr>
            </w:pPr>
          </w:p>
        </w:tc>
      </w:tr>
      <w:tr w:rsidR="002A0111" w:rsidTr="002A0111">
        <w:trPr>
          <w:trHeight w:val="300"/>
          <w:jc w:val="center"/>
        </w:trPr>
        <w:tc>
          <w:tcPr>
            <w:tcW w:w="2040" w:type="dxa"/>
            <w:tcBorders>
              <w:top w:val="nil"/>
              <w:left w:val="single" w:sz="8" w:space="0" w:color="B4C6E7"/>
              <w:bottom w:val="single" w:sz="8" w:space="0" w:color="B4C6E7"/>
              <w:right w:val="single" w:sz="8" w:space="0" w:color="B4C6E7"/>
            </w:tcBorders>
            <w:noWrap/>
            <w:tcMar>
              <w:top w:w="0" w:type="dxa"/>
              <w:left w:w="108" w:type="dxa"/>
              <w:bottom w:w="0" w:type="dxa"/>
              <w:right w:w="108" w:type="dxa"/>
            </w:tcMar>
            <w:hideMark/>
          </w:tcPr>
          <w:p w:rsidR="002A0111" w:rsidRDefault="002A0111">
            <w:pPr>
              <w:rPr>
                <w:b/>
                <w:bCs/>
                <w:color w:val="000000"/>
              </w:rPr>
            </w:pPr>
            <w:r>
              <w:rPr>
                <w:b/>
                <w:bCs/>
                <w:color w:val="000000"/>
              </w:rPr>
              <w:t>Returned to OAES</w:t>
            </w:r>
          </w:p>
        </w:tc>
        <w:tc>
          <w:tcPr>
            <w:tcW w:w="144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45%</w:t>
            </w:r>
          </w:p>
        </w:tc>
        <w:tc>
          <w:tcPr>
            <w:tcW w:w="10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$4,500</w:t>
            </w:r>
          </w:p>
        </w:tc>
        <w:tc>
          <w:tcPr>
            <w:tcW w:w="14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45.00%</w:t>
            </w:r>
          </w:p>
        </w:tc>
        <w:tc>
          <w:tcPr>
            <w:tcW w:w="1084"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color w:val="000000"/>
              </w:rPr>
            </w:pPr>
          </w:p>
        </w:tc>
      </w:tr>
      <w:tr w:rsidR="002A0111" w:rsidTr="002A0111">
        <w:trPr>
          <w:trHeight w:val="300"/>
          <w:jc w:val="center"/>
        </w:trPr>
        <w:tc>
          <w:tcPr>
            <w:tcW w:w="2040" w:type="dxa"/>
            <w:tcBorders>
              <w:top w:val="nil"/>
              <w:left w:val="single" w:sz="8" w:space="0" w:color="B4C6E7"/>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c>
          <w:tcPr>
            <w:tcW w:w="144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c>
          <w:tcPr>
            <w:tcW w:w="10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c>
          <w:tcPr>
            <w:tcW w:w="14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c>
          <w:tcPr>
            <w:tcW w:w="1084"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r>
      <w:tr w:rsidR="002A0111" w:rsidTr="002A0111">
        <w:trPr>
          <w:trHeight w:val="300"/>
          <w:jc w:val="center"/>
        </w:trPr>
        <w:tc>
          <w:tcPr>
            <w:tcW w:w="2040" w:type="dxa"/>
            <w:tcBorders>
              <w:top w:val="nil"/>
              <w:left w:val="single" w:sz="8" w:space="0" w:color="B4C6E7"/>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c>
          <w:tcPr>
            <w:tcW w:w="144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c>
          <w:tcPr>
            <w:tcW w:w="10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c>
          <w:tcPr>
            <w:tcW w:w="14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c>
          <w:tcPr>
            <w:tcW w:w="1084"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r>
      <w:tr w:rsidR="002A0111" w:rsidTr="002A0111">
        <w:trPr>
          <w:trHeight w:val="300"/>
          <w:jc w:val="center"/>
        </w:trPr>
        <w:tc>
          <w:tcPr>
            <w:tcW w:w="2040" w:type="dxa"/>
            <w:tcBorders>
              <w:top w:val="nil"/>
              <w:left w:val="single" w:sz="8" w:space="0" w:color="B4C6E7"/>
              <w:bottom w:val="single" w:sz="8" w:space="0" w:color="B4C6E7"/>
              <w:right w:val="single" w:sz="8" w:space="0" w:color="B4C6E7"/>
            </w:tcBorders>
            <w:noWrap/>
            <w:tcMar>
              <w:top w:w="0" w:type="dxa"/>
              <w:left w:w="108" w:type="dxa"/>
              <w:bottom w:w="0" w:type="dxa"/>
              <w:right w:w="108" w:type="dxa"/>
            </w:tcMar>
            <w:hideMark/>
          </w:tcPr>
          <w:p w:rsidR="002A0111" w:rsidRDefault="002A0111">
            <w:pPr>
              <w:rPr>
                <w:b/>
                <w:bCs/>
                <w:color w:val="000000"/>
              </w:rPr>
            </w:pPr>
            <w:r>
              <w:rPr>
                <w:b/>
                <w:bCs/>
                <w:color w:val="000000"/>
              </w:rPr>
              <w:t>Returned to PI</w:t>
            </w:r>
          </w:p>
        </w:tc>
        <w:tc>
          <w:tcPr>
            <w:tcW w:w="144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b/>
                <w:bCs/>
                <w:color w:val="000000"/>
              </w:rPr>
            </w:pPr>
          </w:p>
        </w:tc>
        <w:tc>
          <w:tcPr>
            <w:tcW w:w="10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$450</w:t>
            </w:r>
          </w:p>
        </w:tc>
        <w:tc>
          <w:tcPr>
            <w:tcW w:w="14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4.50%</w:t>
            </w:r>
          </w:p>
        </w:tc>
        <w:tc>
          <w:tcPr>
            <w:tcW w:w="1084"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10.00%</w:t>
            </w:r>
          </w:p>
        </w:tc>
      </w:tr>
      <w:tr w:rsidR="002A0111" w:rsidTr="002A0111">
        <w:trPr>
          <w:trHeight w:val="300"/>
          <w:jc w:val="center"/>
        </w:trPr>
        <w:tc>
          <w:tcPr>
            <w:tcW w:w="2040" w:type="dxa"/>
            <w:tcBorders>
              <w:top w:val="nil"/>
              <w:left w:val="single" w:sz="8" w:space="0" w:color="B4C6E7"/>
              <w:bottom w:val="single" w:sz="8" w:space="0" w:color="B4C6E7"/>
              <w:right w:val="single" w:sz="8" w:space="0" w:color="B4C6E7"/>
            </w:tcBorders>
            <w:noWrap/>
            <w:tcMar>
              <w:top w:w="0" w:type="dxa"/>
              <w:left w:w="108" w:type="dxa"/>
              <w:bottom w:w="0" w:type="dxa"/>
              <w:right w:w="108" w:type="dxa"/>
            </w:tcMar>
            <w:hideMark/>
          </w:tcPr>
          <w:p w:rsidR="002A0111" w:rsidRDefault="002A0111">
            <w:pPr>
              <w:rPr>
                <w:b/>
                <w:bCs/>
                <w:color w:val="000000"/>
              </w:rPr>
            </w:pPr>
            <w:r>
              <w:rPr>
                <w:b/>
                <w:bCs/>
                <w:color w:val="000000"/>
              </w:rPr>
              <w:t>     remainder</w:t>
            </w:r>
          </w:p>
        </w:tc>
        <w:tc>
          <w:tcPr>
            <w:tcW w:w="144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b/>
                <w:bCs/>
                <w:color w:val="000000"/>
              </w:rPr>
            </w:pPr>
          </w:p>
        </w:tc>
        <w:tc>
          <w:tcPr>
            <w:tcW w:w="10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$4,050</w:t>
            </w:r>
          </w:p>
        </w:tc>
        <w:tc>
          <w:tcPr>
            <w:tcW w:w="14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color w:val="000000"/>
              </w:rPr>
            </w:pPr>
          </w:p>
        </w:tc>
        <w:tc>
          <w:tcPr>
            <w:tcW w:w="1084"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rFonts w:ascii="Times New Roman" w:eastAsia="Times New Roman" w:hAnsi="Times New Roman"/>
                <w:sz w:val="20"/>
                <w:szCs w:val="20"/>
              </w:rPr>
            </w:pPr>
          </w:p>
        </w:tc>
      </w:tr>
      <w:tr w:rsidR="002A0111" w:rsidTr="002A0111">
        <w:trPr>
          <w:trHeight w:val="300"/>
          <w:jc w:val="center"/>
        </w:trPr>
        <w:tc>
          <w:tcPr>
            <w:tcW w:w="2040" w:type="dxa"/>
            <w:tcBorders>
              <w:top w:val="nil"/>
              <w:left w:val="single" w:sz="8" w:space="0" w:color="B4C6E7"/>
              <w:bottom w:val="single" w:sz="8" w:space="0" w:color="B4C6E7"/>
              <w:right w:val="single" w:sz="8" w:space="0" w:color="B4C6E7"/>
            </w:tcBorders>
            <w:noWrap/>
            <w:tcMar>
              <w:top w:w="0" w:type="dxa"/>
              <w:left w:w="108" w:type="dxa"/>
              <w:bottom w:w="0" w:type="dxa"/>
              <w:right w:w="108" w:type="dxa"/>
            </w:tcMar>
            <w:hideMark/>
          </w:tcPr>
          <w:p w:rsidR="002A0111" w:rsidRDefault="002A0111">
            <w:pPr>
              <w:rPr>
                <w:b/>
                <w:bCs/>
                <w:color w:val="000000"/>
              </w:rPr>
            </w:pPr>
            <w:r>
              <w:rPr>
                <w:b/>
                <w:bCs/>
                <w:color w:val="000000"/>
              </w:rPr>
              <w:t>Retained by OAES</w:t>
            </w:r>
          </w:p>
        </w:tc>
        <w:tc>
          <w:tcPr>
            <w:tcW w:w="144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b/>
                <w:bCs/>
                <w:color w:val="000000"/>
              </w:rPr>
            </w:pPr>
          </w:p>
        </w:tc>
        <w:tc>
          <w:tcPr>
            <w:tcW w:w="10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$1,823</w:t>
            </w:r>
          </w:p>
        </w:tc>
        <w:tc>
          <w:tcPr>
            <w:tcW w:w="14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18.23%</w:t>
            </w:r>
          </w:p>
        </w:tc>
        <w:tc>
          <w:tcPr>
            <w:tcW w:w="1084"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40.50%</w:t>
            </w:r>
          </w:p>
        </w:tc>
      </w:tr>
      <w:tr w:rsidR="002A0111" w:rsidTr="002A0111">
        <w:trPr>
          <w:trHeight w:val="300"/>
          <w:jc w:val="center"/>
        </w:trPr>
        <w:tc>
          <w:tcPr>
            <w:tcW w:w="2040" w:type="dxa"/>
            <w:tcBorders>
              <w:top w:val="nil"/>
              <w:left w:val="single" w:sz="8" w:space="0" w:color="B4C6E7"/>
              <w:bottom w:val="single" w:sz="8" w:space="0" w:color="B4C6E7"/>
              <w:right w:val="single" w:sz="8" w:space="0" w:color="B4C6E7"/>
            </w:tcBorders>
            <w:noWrap/>
            <w:tcMar>
              <w:top w:w="0" w:type="dxa"/>
              <w:left w:w="108" w:type="dxa"/>
              <w:bottom w:w="0" w:type="dxa"/>
              <w:right w:w="108" w:type="dxa"/>
            </w:tcMar>
            <w:hideMark/>
          </w:tcPr>
          <w:p w:rsidR="002A0111" w:rsidRDefault="002A0111">
            <w:pPr>
              <w:rPr>
                <w:b/>
                <w:bCs/>
                <w:color w:val="000000"/>
              </w:rPr>
            </w:pPr>
            <w:r>
              <w:rPr>
                <w:b/>
                <w:bCs/>
                <w:color w:val="000000"/>
              </w:rPr>
              <w:t>Departmental</w:t>
            </w:r>
          </w:p>
        </w:tc>
        <w:tc>
          <w:tcPr>
            <w:tcW w:w="144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rPr>
                <w:b/>
                <w:bCs/>
                <w:color w:val="000000"/>
              </w:rPr>
            </w:pPr>
          </w:p>
        </w:tc>
        <w:tc>
          <w:tcPr>
            <w:tcW w:w="10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$2,228</w:t>
            </w:r>
          </w:p>
        </w:tc>
        <w:tc>
          <w:tcPr>
            <w:tcW w:w="1480"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22.28%</w:t>
            </w:r>
          </w:p>
        </w:tc>
        <w:tc>
          <w:tcPr>
            <w:tcW w:w="1084" w:type="dxa"/>
            <w:tcBorders>
              <w:top w:val="nil"/>
              <w:left w:val="nil"/>
              <w:bottom w:val="single" w:sz="8" w:space="0" w:color="B4C6E7"/>
              <w:right w:val="single" w:sz="8" w:space="0" w:color="B4C6E7"/>
            </w:tcBorders>
            <w:noWrap/>
            <w:tcMar>
              <w:top w:w="0" w:type="dxa"/>
              <w:left w:w="108" w:type="dxa"/>
              <w:bottom w:w="0" w:type="dxa"/>
              <w:right w:w="108" w:type="dxa"/>
            </w:tcMar>
            <w:hideMark/>
          </w:tcPr>
          <w:p w:rsidR="002A0111" w:rsidRDefault="002A0111">
            <w:pPr>
              <w:jc w:val="right"/>
              <w:rPr>
                <w:color w:val="000000"/>
              </w:rPr>
            </w:pPr>
            <w:r>
              <w:rPr>
                <w:color w:val="000000"/>
              </w:rPr>
              <w:t>49.50%</w:t>
            </w:r>
          </w:p>
        </w:tc>
      </w:tr>
      <w:tr w:rsidR="002A0111" w:rsidTr="002A0111">
        <w:trPr>
          <w:trHeight w:val="300"/>
          <w:jc w:val="center"/>
        </w:trPr>
        <w:tc>
          <w:tcPr>
            <w:tcW w:w="2040" w:type="dxa"/>
            <w:tcBorders>
              <w:top w:val="nil"/>
              <w:left w:val="single" w:sz="8" w:space="0" w:color="B4C6E7"/>
              <w:bottom w:val="single" w:sz="8" w:space="0" w:color="B4C6E7"/>
              <w:right w:val="single" w:sz="8" w:space="0" w:color="B4C6E7"/>
            </w:tcBorders>
            <w:noWrap/>
            <w:tcMar>
              <w:top w:w="0" w:type="dxa"/>
              <w:left w:w="108" w:type="dxa"/>
              <w:bottom w:w="0" w:type="dxa"/>
              <w:right w:w="108" w:type="dxa"/>
            </w:tcMar>
          </w:tcPr>
          <w:p w:rsidR="002A0111" w:rsidRDefault="002A0111">
            <w:pPr>
              <w:jc w:val="right"/>
              <w:rPr>
                <w:b/>
                <w:bCs/>
                <w:color w:val="000000"/>
              </w:rPr>
            </w:pPr>
          </w:p>
        </w:tc>
        <w:tc>
          <w:tcPr>
            <w:tcW w:w="1440" w:type="dxa"/>
            <w:tcBorders>
              <w:top w:val="nil"/>
              <w:left w:val="nil"/>
              <w:bottom w:val="single" w:sz="8" w:space="0" w:color="B4C6E7"/>
              <w:right w:val="single" w:sz="8" w:space="0" w:color="B4C6E7"/>
            </w:tcBorders>
            <w:noWrap/>
            <w:tcMar>
              <w:top w:w="0" w:type="dxa"/>
              <w:left w:w="108" w:type="dxa"/>
              <w:bottom w:w="0" w:type="dxa"/>
              <w:right w:w="108" w:type="dxa"/>
            </w:tcMar>
          </w:tcPr>
          <w:p w:rsidR="002A0111" w:rsidRDefault="002A0111">
            <w:pPr>
              <w:rPr>
                <w:rFonts w:ascii="Times New Roman" w:hAnsi="Times New Roman"/>
                <w:sz w:val="20"/>
                <w:szCs w:val="20"/>
              </w:rPr>
            </w:pPr>
          </w:p>
        </w:tc>
        <w:tc>
          <w:tcPr>
            <w:tcW w:w="1080" w:type="dxa"/>
            <w:tcBorders>
              <w:top w:val="nil"/>
              <w:left w:val="nil"/>
              <w:bottom w:val="single" w:sz="8" w:space="0" w:color="B4C6E7"/>
              <w:right w:val="single" w:sz="8" w:space="0" w:color="B4C6E7"/>
            </w:tcBorders>
            <w:noWrap/>
            <w:tcMar>
              <w:top w:w="0" w:type="dxa"/>
              <w:left w:w="108" w:type="dxa"/>
              <w:bottom w:w="0" w:type="dxa"/>
              <w:right w:w="108" w:type="dxa"/>
            </w:tcMar>
          </w:tcPr>
          <w:p w:rsidR="002A0111" w:rsidRDefault="002A0111">
            <w:pPr>
              <w:rPr>
                <w:rFonts w:ascii="Times New Roman" w:hAnsi="Times New Roman"/>
                <w:sz w:val="20"/>
                <w:szCs w:val="20"/>
              </w:rPr>
            </w:pPr>
          </w:p>
        </w:tc>
        <w:tc>
          <w:tcPr>
            <w:tcW w:w="1480" w:type="dxa"/>
            <w:tcBorders>
              <w:top w:val="nil"/>
              <w:left w:val="nil"/>
              <w:bottom w:val="single" w:sz="8" w:space="0" w:color="B4C6E7"/>
              <w:right w:val="single" w:sz="8" w:space="0" w:color="B4C6E7"/>
            </w:tcBorders>
            <w:noWrap/>
            <w:tcMar>
              <w:top w:w="0" w:type="dxa"/>
              <w:left w:w="108" w:type="dxa"/>
              <w:bottom w:w="0" w:type="dxa"/>
              <w:right w:w="108" w:type="dxa"/>
            </w:tcMar>
          </w:tcPr>
          <w:p w:rsidR="002A0111" w:rsidRDefault="002A0111">
            <w:pPr>
              <w:rPr>
                <w:rFonts w:ascii="Times New Roman" w:hAnsi="Times New Roman"/>
                <w:sz w:val="20"/>
                <w:szCs w:val="20"/>
              </w:rPr>
            </w:pPr>
          </w:p>
        </w:tc>
        <w:tc>
          <w:tcPr>
            <w:tcW w:w="1084" w:type="dxa"/>
            <w:tcBorders>
              <w:top w:val="nil"/>
              <w:left w:val="nil"/>
              <w:bottom w:val="single" w:sz="8" w:space="0" w:color="B4C6E7"/>
              <w:right w:val="single" w:sz="8" w:space="0" w:color="B4C6E7"/>
            </w:tcBorders>
            <w:noWrap/>
            <w:tcMar>
              <w:top w:w="0" w:type="dxa"/>
              <w:left w:w="108" w:type="dxa"/>
              <w:bottom w:w="0" w:type="dxa"/>
              <w:right w:w="108" w:type="dxa"/>
            </w:tcMar>
          </w:tcPr>
          <w:p w:rsidR="002A0111" w:rsidRDefault="002A0111">
            <w:pPr>
              <w:rPr>
                <w:rFonts w:ascii="Times New Roman" w:hAnsi="Times New Roman"/>
                <w:sz w:val="20"/>
                <w:szCs w:val="20"/>
              </w:rPr>
            </w:pPr>
          </w:p>
        </w:tc>
      </w:tr>
    </w:tbl>
    <w:p w:rsidR="005774E8" w:rsidRDefault="005774E8" w:rsidP="003F6532">
      <w:pPr>
        <w:ind w:left="360"/>
        <w:rPr>
          <w:sz w:val="24"/>
        </w:rPr>
      </w:pPr>
    </w:p>
    <w:p w:rsidR="000D0AD9" w:rsidRPr="00682CBE" w:rsidRDefault="000D0AD9" w:rsidP="003F6532">
      <w:pPr>
        <w:ind w:left="360"/>
        <w:rPr>
          <w:color w:val="FF0000"/>
          <w:sz w:val="24"/>
        </w:rPr>
      </w:pPr>
    </w:p>
    <w:p w:rsidR="003F6532" w:rsidRPr="007470A6" w:rsidRDefault="003F6532" w:rsidP="003F6532">
      <w:pPr>
        <w:ind w:left="360"/>
        <w:rPr>
          <w:color w:val="4F81BD" w:themeColor="accent1"/>
          <w:sz w:val="24"/>
        </w:rPr>
      </w:pPr>
      <w:r w:rsidRPr="007470A6">
        <w:rPr>
          <w:color w:val="4F81BD" w:themeColor="accent1"/>
          <w:sz w:val="24"/>
        </w:rPr>
        <w:t>It is policy (OSU Policies 1-0112, 1-0113, 4-0105) that all grants, contracts, and other sponsored agreements accepted by Oklahoma State University be charged the maximum allowable federally negotiated F&amp;A rate.</w:t>
      </w:r>
    </w:p>
    <w:p w:rsidR="009C3D56" w:rsidRPr="007470A6" w:rsidRDefault="009C3D56" w:rsidP="003F6532">
      <w:pPr>
        <w:ind w:left="360"/>
        <w:rPr>
          <w:color w:val="4F81BD" w:themeColor="accent1"/>
        </w:rPr>
      </w:pPr>
    </w:p>
    <w:p w:rsidR="00455BD5" w:rsidRPr="00455BD5" w:rsidRDefault="00455BD5" w:rsidP="00455BD5">
      <w:pPr>
        <w:pStyle w:val="ANSWER"/>
        <w:rPr>
          <w:u w:val="single"/>
        </w:rPr>
      </w:pPr>
      <w:r w:rsidRPr="00455BD5">
        <w:rPr>
          <w:u w:val="single"/>
        </w:rPr>
        <w:t>Royalties</w:t>
      </w:r>
    </w:p>
    <w:p w:rsidR="00455BD5" w:rsidRPr="00455BD5" w:rsidRDefault="00455BD5" w:rsidP="00455BD5">
      <w:pPr>
        <w:pStyle w:val="ANSWER"/>
        <w:rPr>
          <w:rFonts w:ascii="Calibri" w:hAnsi="Calibri" w:cs="Times New Roman"/>
          <w:color w:val="4F81BD" w:themeColor="accent1"/>
          <w:sz w:val="24"/>
        </w:rPr>
      </w:pPr>
      <w:r w:rsidRPr="00455BD5">
        <w:rPr>
          <w:rFonts w:ascii="Calibri" w:hAnsi="Calibri" w:cs="Times New Roman"/>
          <w:color w:val="4F81BD" w:themeColor="accent1"/>
          <w:sz w:val="24"/>
        </w:rPr>
        <w:t>OSU policy prescribes the distribution of royalty returns. 50% is returned to the inventor(s), 30% to the University, and 20% to the college or division. The funds received by DASNR are retained in the OAES Associate VP office and are used to purchase equipment or facilities for the program generating the royalties. The royalties are not evenly distributed to research programs across OAES but are used to strengthen the programs generating those royalties.</w:t>
      </w:r>
    </w:p>
    <w:p w:rsidR="00455BD5" w:rsidRPr="00455BD5" w:rsidRDefault="00455BD5" w:rsidP="00455BD5">
      <w:pPr>
        <w:pStyle w:val="ANSWER"/>
        <w:rPr>
          <w:rFonts w:ascii="Calibri" w:hAnsi="Calibri" w:cs="Times New Roman"/>
          <w:color w:val="4F81BD" w:themeColor="accent1"/>
          <w:sz w:val="24"/>
        </w:rPr>
      </w:pPr>
    </w:p>
    <w:p w:rsidR="00455BD5" w:rsidRPr="00455BD5" w:rsidRDefault="00455BD5" w:rsidP="00455BD5">
      <w:pPr>
        <w:pStyle w:val="ANSWER"/>
        <w:rPr>
          <w:rFonts w:ascii="Calibri" w:hAnsi="Calibri" w:cs="Times New Roman"/>
          <w:color w:val="4F81BD" w:themeColor="accent1"/>
          <w:sz w:val="24"/>
        </w:rPr>
      </w:pPr>
      <w:r w:rsidRPr="00455BD5">
        <w:rPr>
          <w:rFonts w:ascii="Calibri" w:hAnsi="Calibri" w:cs="Times New Roman"/>
          <w:color w:val="4F81BD" w:themeColor="accent1"/>
          <w:sz w:val="24"/>
        </w:rPr>
        <w:t xml:space="preserve">Policy stipulates:  </w:t>
      </w:r>
    </w:p>
    <w:p w:rsidR="00455BD5" w:rsidRPr="00455BD5" w:rsidRDefault="00455BD5" w:rsidP="00455BD5">
      <w:pPr>
        <w:pStyle w:val="ANSWER"/>
        <w:rPr>
          <w:rFonts w:ascii="Calibri" w:hAnsi="Calibri" w:cs="Times New Roman"/>
          <w:color w:val="4F81BD" w:themeColor="accent1"/>
          <w:sz w:val="24"/>
        </w:rPr>
      </w:pPr>
      <w:r w:rsidRPr="00455BD5">
        <w:rPr>
          <w:rFonts w:ascii="Calibri" w:hAnsi="Calibri" w:cs="Times New Roman"/>
          <w:color w:val="4F81BD" w:themeColor="accent1"/>
          <w:sz w:val="24"/>
        </w:rPr>
        <w:lastRenderedPageBreak/>
        <w:t>The college's(s') share of income under section 5.01(b) shall be administered by the dean(s) of the college(s) and shall first be utilized to support the research program(s) of the inventor(s) as long as the inventor(s) remain(s) (an) employee(s) of the University. If the inventor(s) leave(s) the University, the funds shall be distributed at the discretion of the relevant</w:t>
      </w:r>
      <w:proofErr w:type="gramStart"/>
      <w:r w:rsidRPr="00455BD5">
        <w:rPr>
          <w:rFonts w:ascii="Calibri" w:hAnsi="Calibri" w:cs="Times New Roman"/>
          <w:color w:val="4F81BD" w:themeColor="accent1"/>
          <w:sz w:val="24"/>
        </w:rPr>
        <w:t>  dean</w:t>
      </w:r>
      <w:proofErr w:type="gramEnd"/>
      <w:r w:rsidRPr="00455BD5">
        <w:rPr>
          <w:rFonts w:ascii="Calibri" w:hAnsi="Calibri" w:cs="Times New Roman"/>
          <w:color w:val="4F81BD" w:themeColor="accent1"/>
          <w:sz w:val="24"/>
        </w:rPr>
        <w:t>(s) for use in furtherance of said College's(s') research programs and goals.</w:t>
      </w:r>
    </w:p>
    <w:p w:rsidR="00455BD5" w:rsidRPr="00455BD5" w:rsidRDefault="00455BD5" w:rsidP="00455BD5">
      <w:pPr>
        <w:rPr>
          <w:color w:val="4F81BD" w:themeColor="accent1"/>
          <w:sz w:val="24"/>
        </w:rPr>
      </w:pPr>
    </w:p>
    <w:p w:rsidR="00213D2D" w:rsidRPr="00455BD5" w:rsidRDefault="00213D2D" w:rsidP="00213D2D">
      <w:pPr>
        <w:rPr>
          <w:color w:val="4F81BD" w:themeColor="accent1"/>
          <w:sz w:val="24"/>
        </w:rPr>
      </w:pPr>
    </w:p>
    <w:sectPr w:rsidR="00213D2D" w:rsidRPr="00455B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C0D79"/>
    <w:multiLevelType w:val="hybridMultilevel"/>
    <w:tmpl w:val="A4EA28A2"/>
    <w:lvl w:ilvl="0" w:tplc="E0EC51E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17A24AA6"/>
    <w:multiLevelType w:val="hybridMultilevel"/>
    <w:tmpl w:val="143CB30E"/>
    <w:lvl w:ilvl="0" w:tplc="76C26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CF772E9"/>
    <w:multiLevelType w:val="hybridMultilevel"/>
    <w:tmpl w:val="8278A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21BD5"/>
    <w:multiLevelType w:val="hybridMultilevel"/>
    <w:tmpl w:val="4080B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186C61"/>
    <w:multiLevelType w:val="hybridMultilevel"/>
    <w:tmpl w:val="357EA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A458CF"/>
    <w:multiLevelType w:val="hybridMultilevel"/>
    <w:tmpl w:val="92F8D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8511E3"/>
    <w:multiLevelType w:val="hybridMultilevel"/>
    <w:tmpl w:val="2DFCAC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D6545C9"/>
    <w:multiLevelType w:val="hybridMultilevel"/>
    <w:tmpl w:val="2BB06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6"/>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55"/>
    <w:rsid w:val="00046DAC"/>
    <w:rsid w:val="000D0AD9"/>
    <w:rsid w:val="000E652D"/>
    <w:rsid w:val="001448E8"/>
    <w:rsid w:val="00213D2D"/>
    <w:rsid w:val="002A0111"/>
    <w:rsid w:val="002B4DA2"/>
    <w:rsid w:val="00322EA4"/>
    <w:rsid w:val="003F6532"/>
    <w:rsid w:val="00455BD5"/>
    <w:rsid w:val="005774E8"/>
    <w:rsid w:val="005A0755"/>
    <w:rsid w:val="005E6407"/>
    <w:rsid w:val="00612917"/>
    <w:rsid w:val="00682CBE"/>
    <w:rsid w:val="006F028B"/>
    <w:rsid w:val="007470A6"/>
    <w:rsid w:val="0079405D"/>
    <w:rsid w:val="007E0EB9"/>
    <w:rsid w:val="008034A4"/>
    <w:rsid w:val="008B5C64"/>
    <w:rsid w:val="009C3D56"/>
    <w:rsid w:val="00B47FE4"/>
    <w:rsid w:val="00B7655F"/>
    <w:rsid w:val="00B87EB3"/>
    <w:rsid w:val="00CD740F"/>
    <w:rsid w:val="00CE460F"/>
    <w:rsid w:val="00D2152A"/>
    <w:rsid w:val="00D31B4F"/>
    <w:rsid w:val="00D62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7EED7C-1E1C-4FB4-9FAB-FDA4A1B91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75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755"/>
    <w:rPr>
      <w:color w:val="0000FF"/>
      <w:u w:val="single"/>
    </w:rPr>
  </w:style>
  <w:style w:type="paragraph" w:styleId="ListParagraph">
    <w:name w:val="List Paragraph"/>
    <w:basedOn w:val="Normal"/>
    <w:uiPriority w:val="34"/>
    <w:qFormat/>
    <w:rsid w:val="001448E8"/>
    <w:pPr>
      <w:ind w:left="720"/>
    </w:pPr>
  </w:style>
  <w:style w:type="paragraph" w:styleId="BalloonText">
    <w:name w:val="Balloon Text"/>
    <w:basedOn w:val="Normal"/>
    <w:link w:val="BalloonTextChar"/>
    <w:uiPriority w:val="99"/>
    <w:semiHidden/>
    <w:unhideWhenUsed/>
    <w:rsid w:val="00D215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52A"/>
    <w:rPr>
      <w:rFonts w:ascii="Segoe UI" w:hAnsi="Segoe UI" w:cs="Segoe UI"/>
      <w:sz w:val="18"/>
      <w:szCs w:val="18"/>
    </w:rPr>
  </w:style>
  <w:style w:type="paragraph" w:customStyle="1" w:styleId="Default">
    <w:name w:val="Default"/>
    <w:rsid w:val="00D2152A"/>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CD740F"/>
    <w:rPr>
      <w:rFonts w:ascii="Times New Roman" w:hAnsi="Times New Roman"/>
      <w:sz w:val="24"/>
      <w:szCs w:val="24"/>
    </w:rPr>
  </w:style>
  <w:style w:type="character" w:customStyle="1" w:styleId="ANSWERChar">
    <w:name w:val="ANSWER Char"/>
    <w:basedOn w:val="DefaultParagraphFont"/>
    <w:link w:val="ANSWER"/>
    <w:locked/>
    <w:rsid w:val="00455BD5"/>
    <w:rPr>
      <w:color w:val="2E74B5"/>
    </w:rPr>
  </w:style>
  <w:style w:type="paragraph" w:customStyle="1" w:styleId="ANSWER">
    <w:name w:val="ANSWER"/>
    <w:basedOn w:val="Normal"/>
    <w:link w:val="ANSWERChar"/>
    <w:rsid w:val="00455BD5"/>
    <w:pPr>
      <w:ind w:left="360"/>
    </w:pPr>
    <w:rPr>
      <w:rFonts w:asciiTheme="minorHAnsi" w:hAnsiTheme="minorHAnsi" w:cstheme="minorBidi"/>
      <w:color w:val="2E74B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3350">
      <w:bodyDiv w:val="1"/>
      <w:marLeft w:val="0"/>
      <w:marRight w:val="0"/>
      <w:marTop w:val="0"/>
      <w:marBottom w:val="0"/>
      <w:divBdr>
        <w:top w:val="none" w:sz="0" w:space="0" w:color="auto"/>
        <w:left w:val="none" w:sz="0" w:space="0" w:color="auto"/>
        <w:bottom w:val="none" w:sz="0" w:space="0" w:color="auto"/>
        <w:right w:val="none" w:sz="0" w:space="0" w:color="auto"/>
      </w:divBdr>
    </w:div>
    <w:div w:id="442773852">
      <w:bodyDiv w:val="1"/>
      <w:marLeft w:val="0"/>
      <w:marRight w:val="0"/>
      <w:marTop w:val="0"/>
      <w:marBottom w:val="0"/>
      <w:divBdr>
        <w:top w:val="none" w:sz="0" w:space="0" w:color="auto"/>
        <w:left w:val="none" w:sz="0" w:space="0" w:color="auto"/>
        <w:bottom w:val="none" w:sz="0" w:space="0" w:color="auto"/>
        <w:right w:val="none" w:sz="0" w:space="0" w:color="auto"/>
      </w:divBdr>
    </w:div>
    <w:div w:id="898905675">
      <w:bodyDiv w:val="1"/>
      <w:marLeft w:val="0"/>
      <w:marRight w:val="0"/>
      <w:marTop w:val="0"/>
      <w:marBottom w:val="0"/>
      <w:divBdr>
        <w:top w:val="none" w:sz="0" w:space="0" w:color="auto"/>
        <w:left w:val="none" w:sz="0" w:space="0" w:color="auto"/>
        <w:bottom w:val="none" w:sz="0" w:space="0" w:color="auto"/>
        <w:right w:val="none" w:sz="0" w:space="0" w:color="auto"/>
      </w:divBdr>
    </w:div>
    <w:div w:id="912812769">
      <w:bodyDiv w:val="1"/>
      <w:marLeft w:val="0"/>
      <w:marRight w:val="0"/>
      <w:marTop w:val="0"/>
      <w:marBottom w:val="0"/>
      <w:divBdr>
        <w:top w:val="none" w:sz="0" w:space="0" w:color="auto"/>
        <w:left w:val="none" w:sz="0" w:space="0" w:color="auto"/>
        <w:bottom w:val="none" w:sz="0" w:space="0" w:color="auto"/>
        <w:right w:val="none" w:sz="0" w:space="0" w:color="auto"/>
      </w:divBdr>
    </w:div>
    <w:div w:id="916280438">
      <w:bodyDiv w:val="1"/>
      <w:marLeft w:val="0"/>
      <w:marRight w:val="0"/>
      <w:marTop w:val="0"/>
      <w:marBottom w:val="0"/>
      <w:divBdr>
        <w:top w:val="none" w:sz="0" w:space="0" w:color="auto"/>
        <w:left w:val="none" w:sz="0" w:space="0" w:color="auto"/>
        <w:bottom w:val="none" w:sz="0" w:space="0" w:color="auto"/>
        <w:right w:val="none" w:sz="0" w:space="0" w:color="auto"/>
      </w:divBdr>
    </w:div>
    <w:div w:id="1194726294">
      <w:bodyDiv w:val="1"/>
      <w:marLeft w:val="0"/>
      <w:marRight w:val="0"/>
      <w:marTop w:val="0"/>
      <w:marBottom w:val="0"/>
      <w:divBdr>
        <w:top w:val="none" w:sz="0" w:space="0" w:color="auto"/>
        <w:left w:val="none" w:sz="0" w:space="0" w:color="auto"/>
        <w:bottom w:val="none" w:sz="0" w:space="0" w:color="auto"/>
        <w:right w:val="none" w:sz="0" w:space="0" w:color="auto"/>
      </w:divBdr>
    </w:div>
    <w:div w:id="1385371548">
      <w:bodyDiv w:val="1"/>
      <w:marLeft w:val="0"/>
      <w:marRight w:val="0"/>
      <w:marTop w:val="0"/>
      <w:marBottom w:val="0"/>
      <w:divBdr>
        <w:top w:val="none" w:sz="0" w:space="0" w:color="auto"/>
        <w:left w:val="none" w:sz="0" w:space="0" w:color="auto"/>
        <w:bottom w:val="none" w:sz="0" w:space="0" w:color="auto"/>
        <w:right w:val="none" w:sz="0" w:space="0" w:color="auto"/>
      </w:divBdr>
    </w:div>
    <w:div w:id="1808816617">
      <w:bodyDiv w:val="1"/>
      <w:marLeft w:val="0"/>
      <w:marRight w:val="0"/>
      <w:marTop w:val="0"/>
      <w:marBottom w:val="0"/>
      <w:divBdr>
        <w:top w:val="none" w:sz="0" w:space="0" w:color="auto"/>
        <w:left w:val="none" w:sz="0" w:space="0" w:color="auto"/>
        <w:bottom w:val="none" w:sz="0" w:space="0" w:color="auto"/>
        <w:right w:val="none" w:sz="0" w:space="0" w:color="auto"/>
      </w:divBdr>
    </w:div>
    <w:div w:id="1948461176">
      <w:bodyDiv w:val="1"/>
      <w:marLeft w:val="0"/>
      <w:marRight w:val="0"/>
      <w:marTop w:val="0"/>
      <w:marBottom w:val="0"/>
      <w:divBdr>
        <w:top w:val="none" w:sz="0" w:space="0" w:color="auto"/>
        <w:left w:val="none" w:sz="0" w:space="0" w:color="auto"/>
        <w:bottom w:val="none" w:sz="0" w:space="0" w:color="auto"/>
        <w:right w:val="none" w:sz="0" w:space="0" w:color="auto"/>
      </w:divBdr>
    </w:div>
    <w:div w:id="19917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snr.okstate.edu/vis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Rodney</dc:creator>
  <cp:lastModifiedBy>Mitchell, Shelley</cp:lastModifiedBy>
  <cp:revision>2</cp:revision>
  <cp:lastPrinted>2017-06-15T16:04:00Z</cp:lastPrinted>
  <dcterms:created xsi:type="dcterms:W3CDTF">2017-08-23T14:43:00Z</dcterms:created>
  <dcterms:modified xsi:type="dcterms:W3CDTF">2017-08-23T14:43:00Z</dcterms:modified>
</cp:coreProperties>
</file>